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11827"/>
        </w:rPr>
        <w:t>El pago online ya concentra el 38% del valor cotidiano en España, pero el riesgo se desplaza al canal remoto</w:t>
      </w:r>
    </w:p>
    <w:p>
      <w:r>
        <w:t>Análisis de TienRank a partir de SPACE 2024 y del informe EBA/BCE sobre fraude de pagos: España usa tarjeta en la mitad de los pagos online, mientras el canal remoto concentra el 83% del fraude con tarjeta por valor en la EEE.</w:t>
      </w:r>
    </w:p>
    <w:p>
      <w:r>
        <w:t>Valencia, 22 de julio de 2026</w:t>
      </w:r>
    </w:p>
    <w:p>
      <w:r>
        <w:t>https://tienrank.com/investigaciones/pago-online-fraude-remoto-espana-2026</w:t>
      </w:r>
    </w:p>
    <w:p>
      <w:pPr>
        <w:pStyle w:val="Heading1"/>
      </w:pPr>
      <w:r>
        <w:rPr>
          <w:color w:val="111827"/>
        </w:rPr>
        <w:t>Resumen ejecutivo</w:t>
      </w:r>
    </w:p>
    <w:p>
      <w:r>
        <w:t>El pago online ya es una parte estructural del consumo digital español: en 2024 representó el 22,5% del número de pagos cotidianos y el 38,0% de su valor. La diferencia entre frecuencia e importe indica que el checkout online absorbe operaciones menos numerosas pero de mayor cuantía relativa.</w:t>
      </w:r>
    </w:p>
    <w:p>
      <w:r>
        <w:t>España mantiene una fuerte dependencia de la tarjeta en el checkout: el 50,8% de los pagos online se realizó con tarjeta, por delante de las soluciones de pago electrónico (26,4%) y de los pagos instantáneos (6,1%). Esa estructura hace que la calidad de autenticación, prevención de fraude y recuperación de errores en tarjeta siga siendo central para ecommerce.</w:t>
      </w:r>
    </w:p>
    <w:p>
      <w:r>
        <w:t>El informe EBA/BCE sobre fraude de pagos sitúa el fraude con tarjeta en 1,29 MM EUR en la UE/EEE durante 2024. El punto más sensible no es la tarjeta en abstracto, sino el canal remoto: los pagos remotos suponen el 28% del valor de pagos con tarjeta, pero concentran el 83% del fraude con tarjeta por valor.</w:t>
      </w:r>
    </w:p>
    <w:p>
      <w:pPr>
        <w:pStyle w:val="Heading1"/>
      </w:pPr>
      <w:r>
        <w:rPr>
          <w:color w:val="111827"/>
        </w:rPr>
        <w:t>Hallazgos principales</w:t>
      </w:r>
    </w:p>
    <w:p>
      <w:pPr>
        <w:pStyle w:val="ListBullet"/>
      </w:pPr>
      <w:r>
        <w:t>El peso del pago online en España subió 14,05 puntos en número de pagos desde 2019 y 17,67 puntos en valor.</w:t>
      </w:r>
    </w:p>
    <w:p>
      <w:pPr>
        <w:pStyle w:val="ListBullet"/>
      </w:pPr>
      <w:r>
        <w:t>Las tarjetas representan el 50,8% de los pagos online en España, 2,5 puntos más que la zona euro.</w:t>
      </w:r>
    </w:p>
    <w:p>
      <w:pPr>
        <w:pStyle w:val="ListBullet"/>
      </w:pPr>
      <w:r>
        <w:t>El 24,0% de consumidores españoles declaró dificultades al pagar online, 3,9 puntos por encima de la zona euro.</w:t>
      </w:r>
    </w:p>
    <w:p>
      <w:pPr>
        <w:pStyle w:val="ListBullet"/>
      </w:pPr>
      <w:r>
        <w:t>España registró 141,0 M EUR de fraude con tarjeta reportado por proveedores de pago en 2024, con una tasa de 0,038% sobre el valor de pagos con tarjeta.</w:t>
      </w:r>
    </w:p>
    <w:p>
      <w:pPr>
        <w:pStyle w:val="ListBullet"/>
      </w:pPr>
      <w:r>
        <w:t>El fraude con tarjeta representa el 44,3% del fraude de pagos reportado en España en la tabla EBA/BCE; las transferencias pesan algo más dentro del total nacional.</w:t>
      </w:r>
    </w:p>
    <w:p>
      <w:pPr>
        <w:pStyle w:val="ListBullet"/>
      </w:pPr>
      <w:r>
        <w:t>En la EEE, el fraude remoto con tarjeta está sobrerrepresentado: 2,96 veces por valor y 4,83 veces por número de operaciones frente al peso del canal remoto en pagos con tarjeta.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