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411480" cy="41148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ienrank-mark-192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1480" cy="411480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Calibri" w:hAnsi="Calibri"/>
          <w:b/>
          <w:color w:val="182230"/>
          <w:sz w:val="30"/>
        </w:rPr>
        <w:t xml:space="preserve">  TienRank</w:t>
      </w:r>
    </w:p>
    <w:p>
      <w:pPr>
        <w:spacing w:before="240" w:after="160"/>
        <w:jc w:val="center"/>
      </w:pPr>
      <w:r>
        <w:rPr>
          <w:rFonts w:ascii="Calibri" w:hAnsi="Calibri"/>
          <w:b/>
          <w:color w:val="087A4B"/>
          <w:sz w:val="20"/>
        </w:rPr>
        <w:t>NOTA DE PRENSA</w:t>
      </w:r>
    </w:p>
    <w:p>
      <w:pPr>
        <w:spacing w:after="240"/>
        <w:jc w:val="center"/>
      </w:pPr>
      <w:r>
        <w:rPr>
          <w:rFonts w:ascii="Calibri" w:hAnsi="Calibri"/>
          <w:b/>
          <w:color w:val="182230"/>
          <w:sz w:val="46"/>
        </w:rPr>
        <w:t>El ecommerce español supera los 114.800 millones, pero solo uno de cada dos compradores declara no haber tenido problemas</w:t>
      </w:r>
    </w:p>
    <w:p>
      <w:r>
        <w:rPr>
          <w:rFonts w:ascii="Calibri" w:hAnsi="Calibri"/>
          <w:b/>
          <w:color w:val="182230"/>
          <w:sz w:val="22"/>
        </w:rPr>
        <w:t>España fue en 2025 el segundo país de la UE con mayor porcentaje de compradores que declaró problemas de fraude y entregas incorrectas o dañadas, según un análisis de TienRank sobre datos de Eurostat.</w:t>
      </w:r>
    </w:p>
    <w:p>
      <w:r>
        <w:rPr>
          <w:rFonts w:ascii="Calibri" w:hAnsi="Calibri"/>
          <w:b/>
          <w:color w:val="182230"/>
          <w:sz w:val="22"/>
        </w:rPr>
        <w:t>Valencia, 17 de julio de 2026.</w:t>
      </w:r>
      <w:r>
        <w:rPr>
          <w:rFonts w:ascii="Calibri" w:hAnsi="Calibri"/>
          <w:color w:val="182230"/>
          <w:sz w:val="22"/>
        </w:rPr>
        <w:t xml:space="preserve"> La facturación del comercio electrónico con origen o destino en España superó los 114.800 millones de euros en 2025, un 20,6% más que el año anterior, según la CNMC. Sin embargo, solo el 49,3% de los compradores online españoles declaró no haber encontrado ningún problema durante los tres meses previos, frente al 63,3% de la UE-27.</w:t>
      </w:r>
    </w:p>
    <w:p>
      <w:r>
        <w:rPr>
          <w:rFonts w:ascii="Calibri" w:hAnsi="Calibri"/>
          <w:color w:val="182230"/>
          <w:sz w:val="22"/>
        </w:rPr>
        <w:t>El análisis de TienRank sobre los últimos datos armonizados de Eurostat sitúa a España en la segunda posición de la UE por porcentaje de compradores que declaró problemas de fraude, con un 7,0% frente al 3,9% europeo. También ocupa la segunda posición en entregas de productos incorrectos o dañados, con un 17,3% frente al 10,4% de la UE.</w:t>
      </w:r>
    </w:p>
    <w:p>
      <w:r>
        <w:rPr>
          <w:rFonts w:ascii="Calibri" w:hAnsi="Calibri"/>
          <w:color w:val="182230"/>
          <w:sz w:val="22"/>
        </w:rPr>
        <w:t>Los retrasos fueron la incidencia más extendida: afectaron al 30,2% de los compradores españoles, 10,3 puntos por encima de la media europea y el tercer porcentaje más elevado de los 27 Estados miembros. El 19,2% encontró una web difícil de utilizar o con funcionamiento insatisfactorio; el 16,1% tuvo dificultades para encontrar información sobre garantías o derechos; y el 10,2% consideró difícil reclamar o no recibió una respuesta satisfactoria.</w:t>
      </w:r>
    </w:p>
    <w:p>
      <w:r>
        <w:rPr>
          <w:rFonts w:ascii="Calibri" w:hAnsi="Calibri"/>
          <w:color w:val="182230"/>
          <w:sz w:val="22"/>
        </w:rPr>
        <w:t>La investigación también identifica una brecha generacional de 52,2 puntos. El 88,3% de la población de 25 a 34 años compró online durante los doce meses previos, frente al 36,1% de las personas de 65 a 74 años. Entre quienes tienen educación superior, la adopción alcanza el 85,2%; entre las personas con nivel educativo bajo se queda en el 47,0%.</w:t>
      </w:r>
    </w:p>
    <w:p>
      <w:r>
        <w:br w:type="page"/>
      </w:r>
    </w:p>
    <w:p>
      <w:pPr>
        <w:keepNext/>
        <w:spacing w:before="120" w:after="200" w:line="288" w:lineRule="auto"/>
        <w:ind w:left="317" w:right="173"/>
        <w:pBdr>
          <w:left w:val="single" w:sz="18" w:space="8" w:color="12B76A"/>
        </w:pBdr>
        <w:shd w:fill="EAFBF3"/>
      </w:pPr>
      <w:r>
        <w:rPr>
          <w:rFonts w:ascii="Calibri" w:hAnsi="Calibri"/>
          <w:b/>
          <w:i/>
          <w:color w:val="182230"/>
          <w:sz w:val="22"/>
        </w:rPr>
        <w:t>Cita propuesta, pendiente de aprobación:</w:t>
      </w:r>
      <w:r>
        <w:rPr>
          <w:rFonts w:ascii="Calibri" w:hAnsi="Calibri"/>
          <w:i/>
          <w:color w:val="182230"/>
          <w:sz w:val="22"/>
        </w:rPr>
        <w:t xml:space="preserve"> "Los datos indican que el reto del ecommerce español ya no es solo vender más. Cuando el mercado crece un 20% pero uno de cada dos compradores declara algún problema, la experiencia deja de ser un detalle operativo y se convierte en una cuestión de competitividad", explica David Trotonda, CEO de TienRank.</w:t>
      </w:r>
    </w:p>
    <w:p>
      <w:r>
        <w:rPr>
          <w:rFonts w:ascii="Calibri" w:hAnsi="Calibri"/>
          <w:color w:val="182230"/>
          <w:sz w:val="22"/>
        </w:rPr>
        <w:t>El crecimiento presenta además un fuerte componente exterior. En el cuarto trimestre de 2025, el 57,8% de los ingresos registrados por la CNMC correspondió a compras con origen en España realizadas en comercios del exterior. El saldo neto exterior fue deficitario en 14.742 millones de euros y el 94,6% de las compras dirigidas al extranjero se realizó en establecimientos de la Unión Europea.</w:t>
      </w:r>
    </w:p>
    <w:p>
      <w:r>
        <w:rPr>
          <w:rFonts w:ascii="Calibri" w:hAnsi="Calibri"/>
          <w:color w:val="182230"/>
          <w:sz w:val="22"/>
        </w:rPr>
        <w:t>TienRank advierte de que las fuentes no deben mezclarse como si midieran el mismo universo. La CNMC contabiliza operaciones de comercio electrónico con tarjeta con origen o destino en España. Eurostat utiliza una encuesta armonizada a hogares e individuos. Los problemas son autodeclarados, admiten respuesta múltiple y no equivalen a denuncias o delitos confirmados.</w:t>
      </w:r>
    </w:p>
    <w:p>
      <w:pPr>
        <w:pStyle w:val="Heading1"/>
      </w:pPr>
      <w:r>
        <w:rPr>
          <w:rFonts w:ascii="Calibri" w:hAnsi="Calibri"/>
          <w:color w:val="182230"/>
          <w:sz w:val="22"/>
        </w:rPr>
        <w:t>Sobre la investigación</w:t>
      </w:r>
    </w:p>
    <w:p>
      <w:r>
        <w:rPr>
          <w:rFonts w:ascii="Calibri" w:hAnsi="Calibri"/>
          <w:color w:val="182230"/>
          <w:sz w:val="22"/>
        </w:rPr>
        <w:t xml:space="preserve">El análisis utiliza los conjuntos de datos </w:t>
      </w:r>
      <w:r>
        <w:rPr>
          <w:rFonts w:ascii="Courier New" w:hAnsi="Courier New"/>
          <w:color w:val="087A4B"/>
          <w:sz w:val="19"/>
        </w:rPr>
        <w:t>isoc_ec_ib20</w:t>
      </w:r>
      <w:r>
        <w:rPr>
          <w:rFonts w:ascii="Calibri" w:hAnsi="Calibri"/>
          <w:color w:val="182230"/>
          <w:sz w:val="22"/>
        </w:rPr>
        <w:t xml:space="preserve"> e </w:t>
      </w:r>
      <w:r>
        <w:rPr>
          <w:rFonts w:ascii="Courier New" w:hAnsi="Courier New"/>
          <w:color w:val="087A4B"/>
          <w:sz w:val="19"/>
        </w:rPr>
        <w:t>isoc_ec_iprb21</w:t>
      </w:r>
      <w:r>
        <w:rPr>
          <w:rFonts w:ascii="Calibri" w:hAnsi="Calibri"/>
          <w:color w:val="182230"/>
          <w:sz w:val="22"/>
        </w:rPr>
        <w:t xml:space="preserve"> de Eurostat. La encuesta europea de 2025 se basa aproximadamente en 172.000 hogares y 330.000 personas. Las posiciones de España se calcularon sobre los valores disponibles de los 27 Estados miembros. El contexto de facturación y flujos geográficos procede de la CNMC y fue publicado el 3 de julio de 2026.</w:t>
      </w:r>
    </w:p>
    <w:p>
      <w:r>
        <w:rPr>
          <w:rFonts w:ascii="Calibri" w:hAnsi="Calibri"/>
          <w:color w:val="182230"/>
          <w:sz w:val="22"/>
        </w:rPr>
        <w:t>El dossier completo, los gráficos y los CSV utilizados para los cálculos están disponibles para los medios.</w:t>
      </w:r>
    </w:p>
    <w:p>
      <w:pPr>
        <w:pStyle w:val="Heading1"/>
      </w:pPr>
      <w:r>
        <w:rPr>
          <w:rFonts w:ascii="Calibri" w:hAnsi="Calibri"/>
          <w:color w:val="182230"/>
          <w:sz w:val="22"/>
        </w:rPr>
        <w:t>Sobre TienRank</w:t>
      </w:r>
    </w:p>
    <w:p>
      <w:r>
        <w:rPr>
          <w:rFonts w:ascii="Calibri" w:hAnsi="Calibri"/>
          <w:color w:val="182230"/>
          <w:sz w:val="22"/>
        </w:rPr>
        <w:t>TienRank es una plataforma de investigación y descubrimiento de tiendas online desarrollada en Valencia. El equipo combina experiencia en desarrollo de software, estrategia y crecimiento de ecommerce.</w:t>
      </w:r>
    </w:p>
    <w:p>
      <w:r>
        <w:rPr>
          <w:rFonts w:ascii="Calibri" w:hAnsi="Calibri"/>
          <w:b/>
          <w:color w:val="182230"/>
          <w:sz w:val="22"/>
        </w:rPr>
        <w:t>Contacto de prensa:</w:t>
      </w:r>
      <w:r>
        <w:rPr>
          <w:rFonts w:ascii="Calibri" w:hAnsi="Calibri"/>
          <w:color w:val="182230"/>
          <w:sz w:val="22"/>
        </w:rPr>
        <w:t xml:space="preserve"> info@tienrank.com </w:t>
      </w:r>
      <w:r>
        <w:rPr>
          <w:rFonts w:ascii="Calibri" w:hAnsi="Calibri"/>
          <w:b/>
          <w:color w:val="182230"/>
          <w:sz w:val="22"/>
        </w:rPr>
        <w:t>Web:</w:t>
      </w:r>
      <w:r>
        <w:rPr>
          <w:rFonts w:ascii="Calibri" w:hAnsi="Calibri"/>
          <w:color w:val="182230"/>
          <w:sz w:val="22"/>
        </w:rPr>
        <w:t xml:space="preserve"> https://tienrank.com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181" w:right="1440" w:bottom="1123" w:left="1440" w:header="547" w:footer="54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tbl>
    <w:tblPr>
      <w:tblW w:type="dxa" w:w="9360"/>
      <w:jc w:val="center"/>
      <w:tblLayout w:type="fixed"/>
      <w:tblLook w:firstColumn="1" w:firstRow="1" w:lastColumn="0" w:lastRow="0" w:noHBand="0" w:noVBand="1" w:val="04A0"/>
      <w:tblInd w:w="0" w:type="dxa"/>
    </w:tblPr>
    <w:tblGrid>
      <w:gridCol w:w="7200"/>
      <w:gridCol w:w="2160"/>
    </w:tblGrid>
    <w:tr>
      <w:trPr>
        <w:cantSplit/>
      </w:trPr>
      <w:tc>
        <w:tcPr>
          <w:tcW w:type="dxa" w:w="7200"/>
          <w:tcMar>
            <w:top w:w="100" w:type="dxa"/>
            <w:start w:w="120" w:type="dxa"/>
            <w:bottom w:w="100" w:type="dxa"/>
            <w:end w:w="120" w:type="dxa"/>
          </w:tcMar>
          <w:vAlign w:val="center"/>
        </w:tcPr>
        <w:p>
          <w:pPr>
            <w:spacing w:after="0"/>
          </w:pPr>
          <w:r>
            <w:rPr>
              <w:rFonts w:ascii="Calibri" w:hAnsi="Calibri"/>
              <w:color w:val="667085"/>
              <w:sz w:val="17"/>
            </w:rPr>
            <w:t>TienRank | info@tienrank.com | tienrank.com</w:t>
          </w:r>
        </w:p>
      </w:tc>
      <w:tc>
        <w:tcPr>
          <w:tcW w:type="dxa" w:w="2160"/>
          <w:tcMar>
            <w:top w:w="100" w:type="dxa"/>
            <w:start w:w="120" w:type="dxa"/>
            <w:bottom w:w="100" w:type="dxa"/>
            <w:end w:w="120" w:type="dxa"/>
          </w:tcMar>
          <w:vAlign w:val="center"/>
        </w:tcPr>
        <w:p>
          <w:pPr>
            <w:spacing w:after="0"/>
            <w:jc w:val="right"/>
          </w:pPr>
          <w:r>
            <w:rPr>
              <w:rFonts w:ascii="Calibri" w:hAnsi="Calibri"/>
              <w:color w:val="667085"/>
              <w:sz w:val="18"/>
            </w:rPr>
            <w:fldChar w:fldCharType="begin"/>
            <w:instrText xml:space="preserve"> PAGE </w:instrText>
            <w:fldChar w:fldCharType="separate"/>
            <w:t>1</w:t>
            <w:fldChar w:fldCharType="end"/>
          </w:r>
        </w:p>
      </w:tc>
    </w:tr>
  </w:tbl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Calibri" w:hAnsi="Calibri"/>
        <w:b/>
        <w:color w:val="667085"/>
        <w:sz w:val="17"/>
      </w:rPr>
      <w:t>NOTA DE PRENSA | TIENRANK | 17 JULIO 2026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Lines/>
      <w:widowControl/>
      <w:spacing w:before="0" w:after="120" w:line="264" w:lineRule="auto"/>
    </w:pPr>
    <w:rPr>
      <w:rFonts w:ascii="Calibri" w:hAnsi="Calibri"/>
      <w:color w:val="182230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Calibri" w:hAnsi="Calibri"/>
      <w:b/>
      <w:bCs/>
      <w:color w:val="087A4B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Calibri" w:hAnsi="Calibri"/>
      <w:b/>
      <w:bCs/>
      <w:color w:val="087A4B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Calibri" w:hAnsi="Calibri"/>
      <w:b/>
      <w:bCs/>
      <w:color w:val="182230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160" w:line="280" w:lineRule="auto"/>
      <w:ind w:left="720" w:hanging="360"/>
      <w:contextualSpacing/>
    </w:pPr>
    <w:rPr>
      <w:rFonts w:ascii="Calibri" w:hAnsi="Calibri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160" w:line="280" w:lineRule="auto"/>
      <w:ind w:left="720" w:hanging="360"/>
      <w:contextualSpacing/>
    </w:pPr>
    <w:rPr>
      <w:rFonts w:ascii="Calibri" w:hAnsi="Calibri"/>
      <w:sz w:val="22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